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92EAE9" w14:textId="59430B87" w:rsidR="00EA4DF1" w:rsidRPr="00EE07EB" w:rsidRDefault="00EA4DF1" w:rsidP="00EA4DF1">
      <w:pPr>
        <w:spacing w:line="480" w:lineRule="auto"/>
        <w:rPr>
          <w:b/>
          <w:bCs/>
          <w:sz w:val="24"/>
          <w:szCs w:val="24"/>
        </w:rPr>
      </w:pPr>
      <w:r w:rsidRPr="00EE07EB">
        <w:rPr>
          <w:b/>
          <w:bCs/>
          <w:sz w:val="24"/>
          <w:szCs w:val="24"/>
        </w:rPr>
        <w:t xml:space="preserve">Supplementary Table </w:t>
      </w:r>
      <w:r w:rsidR="00DF127F">
        <w:rPr>
          <w:b/>
          <w:bCs/>
          <w:sz w:val="24"/>
          <w:szCs w:val="24"/>
        </w:rPr>
        <w:t>2</w:t>
      </w:r>
      <w:r w:rsidRPr="00EE07EB">
        <w:rPr>
          <w:b/>
          <w:bCs/>
          <w:sz w:val="24"/>
          <w:szCs w:val="24"/>
        </w:rPr>
        <w:t xml:space="preserve">. Health </w:t>
      </w:r>
      <w:r w:rsidR="00606DF2">
        <w:rPr>
          <w:b/>
          <w:bCs/>
          <w:sz w:val="24"/>
          <w:szCs w:val="24"/>
        </w:rPr>
        <w:t>a</w:t>
      </w:r>
      <w:r w:rsidRPr="00EE07EB">
        <w:rPr>
          <w:b/>
          <w:bCs/>
          <w:sz w:val="24"/>
          <w:szCs w:val="24"/>
        </w:rPr>
        <w:t xml:space="preserve">dministrative </w:t>
      </w:r>
      <w:r w:rsidR="00606DF2">
        <w:rPr>
          <w:b/>
          <w:bCs/>
          <w:sz w:val="24"/>
          <w:szCs w:val="24"/>
        </w:rPr>
        <w:t>d</w:t>
      </w:r>
      <w:r w:rsidRPr="00EE07EB">
        <w:rPr>
          <w:b/>
          <w:bCs/>
          <w:sz w:val="24"/>
          <w:szCs w:val="24"/>
        </w:rPr>
        <w:t xml:space="preserve">atabases and </w:t>
      </w:r>
      <w:r w:rsidR="00606DF2">
        <w:rPr>
          <w:b/>
          <w:bCs/>
          <w:sz w:val="24"/>
          <w:szCs w:val="24"/>
        </w:rPr>
        <w:t>s</w:t>
      </w:r>
      <w:r w:rsidRPr="00EE07EB">
        <w:rPr>
          <w:b/>
          <w:bCs/>
          <w:sz w:val="24"/>
          <w:szCs w:val="24"/>
        </w:rPr>
        <w:t xml:space="preserve">tudy </w:t>
      </w:r>
      <w:r w:rsidR="00606DF2">
        <w:rPr>
          <w:b/>
          <w:bCs/>
          <w:sz w:val="24"/>
          <w:szCs w:val="24"/>
        </w:rPr>
        <w:t>v</w:t>
      </w:r>
      <w:r w:rsidRPr="00EE07EB">
        <w:rPr>
          <w:b/>
          <w:bCs/>
          <w:sz w:val="24"/>
          <w:szCs w:val="24"/>
        </w:rPr>
        <w:t>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9"/>
        <w:gridCol w:w="1905"/>
        <w:gridCol w:w="2481"/>
        <w:gridCol w:w="2615"/>
      </w:tblGrid>
      <w:tr w:rsidR="00EA4DF1" w:rsidRPr="00EE07EB" w14:paraId="07CE7264" w14:textId="77777777" w:rsidTr="00045381">
        <w:tc>
          <w:tcPr>
            <w:tcW w:w="2349" w:type="dxa"/>
            <w:shd w:val="clear" w:color="auto" w:fill="D0CECE" w:themeFill="background2" w:themeFillShade="E6"/>
          </w:tcPr>
          <w:p w14:paraId="274AB6C0" w14:textId="77777777" w:rsidR="00EA4DF1" w:rsidRPr="00EE07EB" w:rsidRDefault="00EA4DF1" w:rsidP="00EA4DF1">
            <w:pPr>
              <w:rPr>
                <w:b/>
                <w:bCs/>
                <w:sz w:val="24"/>
                <w:szCs w:val="24"/>
              </w:rPr>
            </w:pPr>
            <w:r w:rsidRPr="00EE07EB">
              <w:rPr>
                <w:b/>
                <w:bCs/>
                <w:sz w:val="24"/>
                <w:szCs w:val="24"/>
              </w:rPr>
              <w:t>Name of Database</w:t>
            </w:r>
          </w:p>
        </w:tc>
        <w:tc>
          <w:tcPr>
            <w:tcW w:w="1905" w:type="dxa"/>
            <w:shd w:val="clear" w:color="auto" w:fill="D0CECE" w:themeFill="background2" w:themeFillShade="E6"/>
          </w:tcPr>
          <w:p w14:paraId="7851AFE0" w14:textId="77777777" w:rsidR="00EA4DF1" w:rsidRPr="00EE07EB" w:rsidRDefault="00EA4DF1" w:rsidP="00EA4DF1">
            <w:pPr>
              <w:rPr>
                <w:b/>
                <w:bCs/>
                <w:sz w:val="24"/>
                <w:szCs w:val="24"/>
              </w:rPr>
            </w:pPr>
            <w:r w:rsidRPr="00EE07EB">
              <w:rPr>
                <w:b/>
                <w:bCs/>
                <w:sz w:val="24"/>
                <w:szCs w:val="24"/>
              </w:rPr>
              <w:t>Data Sources</w:t>
            </w:r>
          </w:p>
        </w:tc>
        <w:tc>
          <w:tcPr>
            <w:tcW w:w="2481" w:type="dxa"/>
            <w:shd w:val="clear" w:color="auto" w:fill="D0CECE" w:themeFill="background2" w:themeFillShade="E6"/>
          </w:tcPr>
          <w:p w14:paraId="70D51331" w14:textId="77777777" w:rsidR="00EA4DF1" w:rsidRPr="00EE07EB" w:rsidRDefault="00EA4DF1" w:rsidP="00EA4DF1">
            <w:pPr>
              <w:rPr>
                <w:b/>
                <w:bCs/>
                <w:sz w:val="24"/>
                <w:szCs w:val="24"/>
              </w:rPr>
            </w:pPr>
            <w:r w:rsidRPr="00EE07EB">
              <w:rPr>
                <w:b/>
                <w:bCs/>
                <w:sz w:val="24"/>
                <w:szCs w:val="24"/>
              </w:rPr>
              <w:t xml:space="preserve">Variables </w:t>
            </w:r>
          </w:p>
        </w:tc>
        <w:tc>
          <w:tcPr>
            <w:tcW w:w="2615" w:type="dxa"/>
            <w:shd w:val="clear" w:color="auto" w:fill="D0CECE" w:themeFill="background2" w:themeFillShade="E6"/>
          </w:tcPr>
          <w:p w14:paraId="394E3184" w14:textId="77777777" w:rsidR="00EA4DF1" w:rsidRPr="00EE07EB" w:rsidRDefault="00EA4DF1" w:rsidP="00EA4DF1">
            <w:pPr>
              <w:rPr>
                <w:b/>
                <w:bCs/>
                <w:sz w:val="24"/>
                <w:szCs w:val="24"/>
              </w:rPr>
            </w:pPr>
            <w:r w:rsidRPr="00EE07EB">
              <w:rPr>
                <w:b/>
                <w:bCs/>
                <w:sz w:val="24"/>
                <w:szCs w:val="24"/>
              </w:rPr>
              <w:t>Details of use and relevant ICD-10 diagnostic codes</w:t>
            </w:r>
          </w:p>
        </w:tc>
      </w:tr>
      <w:tr w:rsidR="00EA4DF1" w:rsidRPr="00EE07EB" w14:paraId="604E76EB" w14:textId="77777777" w:rsidTr="00045381">
        <w:tc>
          <w:tcPr>
            <w:tcW w:w="2349" w:type="dxa"/>
          </w:tcPr>
          <w:p w14:paraId="16072D3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CIHI-DAD</w:t>
            </w:r>
          </w:p>
          <w:p w14:paraId="2C5E4404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(Canadian Institutes of Health Information Discharge Abstract Database)</w:t>
            </w:r>
          </w:p>
        </w:tc>
        <w:tc>
          <w:tcPr>
            <w:tcW w:w="1905" w:type="dxa"/>
          </w:tcPr>
          <w:p w14:paraId="3764074C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ICES</w:t>
            </w:r>
          </w:p>
        </w:tc>
        <w:tc>
          <w:tcPr>
            <w:tcW w:w="2481" w:type="dxa"/>
          </w:tcPr>
          <w:p w14:paraId="1378D125" w14:textId="0FD3CF39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-Hospitalization date for RSV</w:t>
            </w:r>
            <w:r w:rsidR="00C27078">
              <w:rPr>
                <w:sz w:val="24"/>
                <w:szCs w:val="24"/>
              </w:rPr>
              <w:t>*</w:t>
            </w:r>
            <w:bookmarkStart w:id="0" w:name="_GoBack"/>
            <w:bookmarkEnd w:id="0"/>
          </w:p>
          <w:p w14:paraId="1CFC2673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-Comorbid diagnoses**</w:t>
            </w:r>
          </w:p>
        </w:tc>
        <w:tc>
          <w:tcPr>
            <w:tcW w:w="2615" w:type="dxa"/>
          </w:tcPr>
          <w:p w14:paraId="105BD17D" w14:textId="77777777" w:rsidR="00EA4DF1" w:rsidRPr="00EE07EB" w:rsidRDefault="00EA4DF1" w:rsidP="00EA4DF1">
            <w:pPr>
              <w:rPr>
                <w:sz w:val="24"/>
                <w:szCs w:val="24"/>
                <w:lang w:val="fr-CA"/>
              </w:rPr>
            </w:pPr>
            <w:r w:rsidRPr="00EE07EB">
              <w:rPr>
                <w:i/>
                <w:iCs/>
                <w:sz w:val="24"/>
                <w:szCs w:val="24"/>
                <w:lang w:val="fr-CA"/>
              </w:rPr>
              <w:t>Trisomy 21:</w:t>
            </w:r>
            <w:r w:rsidRPr="00EE07EB">
              <w:rPr>
                <w:sz w:val="24"/>
                <w:szCs w:val="24"/>
                <w:lang w:val="fr-CA"/>
              </w:rPr>
              <w:t xml:space="preserve"> </w:t>
            </w:r>
          </w:p>
          <w:p w14:paraId="2D80555E" w14:textId="77777777" w:rsidR="00EA4DF1" w:rsidRPr="00EE07EB" w:rsidRDefault="00EA4DF1" w:rsidP="00EA4DF1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CA"/>
              </w:rPr>
            </w:pPr>
            <w:r w:rsidRPr="00EE07EB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CA"/>
              </w:rPr>
              <w:t>Q90.0, Q90.1, Q90.2, Q90.9</w:t>
            </w:r>
          </w:p>
          <w:p w14:paraId="2F57D064" w14:textId="77777777" w:rsidR="00EA4DF1" w:rsidRPr="00EE07EB" w:rsidRDefault="00EA4DF1" w:rsidP="00EA4DF1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E07EB">
              <w:rPr>
                <w:i/>
                <w:iCs/>
                <w:sz w:val="24"/>
                <w:szCs w:val="24"/>
              </w:rPr>
              <w:t>Congenital heart disease :</w:t>
            </w:r>
            <w:r w:rsidRPr="00EE07EB">
              <w:rPr>
                <w:sz w:val="24"/>
                <w:szCs w:val="24"/>
              </w:rPr>
              <w:t xml:space="preserve"> </w:t>
            </w:r>
            <w:r w:rsidRPr="00EE07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Q20.0-Q20.9, Q21.0-Q21.9, Q22.0-Q22.9, Q23.0-Q23.9, Q24.0-Q24.9, Q25.0-Q25.9,</w:t>
            </w:r>
            <w:r w:rsidRPr="00EE07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br/>
              <w:t>Q26.0-Q26.9</w:t>
            </w:r>
          </w:p>
          <w:p w14:paraId="56E24C9E" w14:textId="77777777" w:rsidR="00EA4DF1" w:rsidRPr="00EE07EB" w:rsidRDefault="00EA4DF1" w:rsidP="00EA4DF1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EE07EB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</w:rPr>
              <w:t>Bronchopulmonary dysplasia :</w:t>
            </w:r>
            <w:r w:rsidRPr="00EE07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P27.1, P27.8, P27.9</w:t>
            </w:r>
          </w:p>
          <w:p w14:paraId="42A21D65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</w:tr>
      <w:tr w:rsidR="00EA4DF1" w:rsidRPr="00EE07EB" w14:paraId="17544098" w14:textId="77777777" w:rsidTr="00045381">
        <w:tc>
          <w:tcPr>
            <w:tcW w:w="2349" w:type="dxa"/>
          </w:tcPr>
          <w:p w14:paraId="3D34FD4C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OHIP</w:t>
            </w:r>
          </w:p>
          <w:p w14:paraId="34E623FA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(Ontario Health Insurance Plan)</w:t>
            </w:r>
          </w:p>
        </w:tc>
        <w:tc>
          <w:tcPr>
            <w:tcW w:w="1905" w:type="dxa"/>
          </w:tcPr>
          <w:p w14:paraId="7BFEFFB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ICES</w:t>
            </w:r>
          </w:p>
        </w:tc>
        <w:tc>
          <w:tcPr>
            <w:tcW w:w="2481" w:type="dxa"/>
          </w:tcPr>
          <w:p w14:paraId="00A4FDC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Non-Ontario Residents (i.e. no valid OHIP number)</w:t>
            </w:r>
          </w:p>
        </w:tc>
        <w:tc>
          <w:tcPr>
            <w:tcW w:w="2615" w:type="dxa"/>
          </w:tcPr>
          <w:p w14:paraId="54A87D2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-Exclusion criteria</w:t>
            </w:r>
          </w:p>
          <w:p w14:paraId="5ED63468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-encrypted OHIP number used as linking variable</w:t>
            </w:r>
          </w:p>
          <w:p w14:paraId="5AA56D05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</w:tr>
      <w:tr w:rsidR="00EA4DF1" w:rsidRPr="00EE07EB" w14:paraId="277A2102" w14:textId="77777777" w:rsidTr="00045381">
        <w:trPr>
          <w:trHeight w:val="953"/>
        </w:trPr>
        <w:tc>
          <w:tcPr>
            <w:tcW w:w="2349" w:type="dxa"/>
          </w:tcPr>
          <w:p w14:paraId="163ED0A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RPDB</w:t>
            </w:r>
          </w:p>
          <w:p w14:paraId="02D74A73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(Registered Persons Database)</w:t>
            </w:r>
          </w:p>
          <w:p w14:paraId="184FBE99" w14:textId="77777777" w:rsidR="00EA4DF1" w:rsidRPr="00EE07EB" w:rsidRDefault="00EA4DF1" w:rsidP="00EA4DF1">
            <w:pPr>
              <w:rPr>
                <w:sz w:val="24"/>
                <w:szCs w:val="24"/>
                <w:lang w:val="fr-CA"/>
              </w:rPr>
            </w:pPr>
          </w:p>
        </w:tc>
        <w:tc>
          <w:tcPr>
            <w:tcW w:w="1905" w:type="dxa"/>
          </w:tcPr>
          <w:p w14:paraId="464FBC7D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ICES</w:t>
            </w:r>
          </w:p>
        </w:tc>
        <w:tc>
          <w:tcPr>
            <w:tcW w:w="2481" w:type="dxa"/>
          </w:tcPr>
          <w:p w14:paraId="7BFEEE22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-Sex</w:t>
            </w:r>
          </w:p>
          <w:p w14:paraId="7E028FAD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-Age</w:t>
            </w:r>
          </w:p>
          <w:p w14:paraId="434ECD78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-Death Date</w:t>
            </w:r>
          </w:p>
        </w:tc>
        <w:tc>
          <w:tcPr>
            <w:tcW w:w="2615" w:type="dxa"/>
          </w:tcPr>
          <w:p w14:paraId="412D448B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  <w:p w14:paraId="00AB5B12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  <w:p w14:paraId="48D17B75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-Exclusion Criteria</w:t>
            </w:r>
          </w:p>
        </w:tc>
      </w:tr>
      <w:tr w:rsidR="00EA4DF1" w:rsidRPr="00EE07EB" w14:paraId="43923561" w14:textId="77777777" w:rsidTr="00045381">
        <w:trPr>
          <w:trHeight w:val="1520"/>
        </w:trPr>
        <w:tc>
          <w:tcPr>
            <w:tcW w:w="2349" w:type="dxa"/>
          </w:tcPr>
          <w:p w14:paraId="1350FF14" w14:textId="77777777" w:rsidR="00EA4DF1" w:rsidRPr="00EE07EB" w:rsidRDefault="00EA4DF1" w:rsidP="00EA4DF1">
            <w:pPr>
              <w:rPr>
                <w:sz w:val="24"/>
                <w:szCs w:val="24"/>
                <w:lang w:val="fr-CA"/>
              </w:rPr>
            </w:pPr>
            <w:r w:rsidRPr="00EE07EB">
              <w:rPr>
                <w:sz w:val="24"/>
                <w:szCs w:val="24"/>
                <w:lang w:val="fr-CA"/>
              </w:rPr>
              <w:t>POP (population database)</w:t>
            </w:r>
          </w:p>
          <w:p w14:paraId="25566255" w14:textId="77777777" w:rsidR="00EA4DF1" w:rsidRPr="00EE07EB" w:rsidRDefault="00EA4DF1" w:rsidP="00EA4DF1">
            <w:pPr>
              <w:rPr>
                <w:sz w:val="24"/>
                <w:szCs w:val="24"/>
                <w:lang w:val="fr-CA"/>
              </w:rPr>
            </w:pPr>
            <w:r w:rsidRPr="00EE07EB">
              <w:rPr>
                <w:sz w:val="24"/>
                <w:szCs w:val="24"/>
                <w:lang w:val="fr-CA"/>
              </w:rPr>
              <w:t>CENSUS</w:t>
            </w:r>
          </w:p>
          <w:p w14:paraId="7E0715F7" w14:textId="77777777" w:rsidR="00EA4DF1" w:rsidRPr="00EE07EB" w:rsidRDefault="00EA4DF1" w:rsidP="00EA4DF1">
            <w:pPr>
              <w:rPr>
                <w:sz w:val="24"/>
                <w:szCs w:val="24"/>
                <w:lang w:val="fr-CA"/>
              </w:rPr>
            </w:pPr>
            <w:r w:rsidRPr="00EE07EB">
              <w:rPr>
                <w:sz w:val="24"/>
                <w:szCs w:val="24"/>
                <w:lang w:val="fr-CA"/>
              </w:rPr>
              <w:t>PCCF (Postal Code Conversion Files)</w:t>
            </w:r>
          </w:p>
        </w:tc>
        <w:tc>
          <w:tcPr>
            <w:tcW w:w="1905" w:type="dxa"/>
          </w:tcPr>
          <w:p w14:paraId="70E2A2AF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ICES</w:t>
            </w:r>
          </w:p>
        </w:tc>
        <w:tc>
          <w:tcPr>
            <w:tcW w:w="2481" w:type="dxa"/>
          </w:tcPr>
          <w:p w14:paraId="4187FA73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-Income quintile (1 = lowest)</w:t>
            </w:r>
          </w:p>
          <w:p w14:paraId="189FF6C1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-Rural residence (&lt;10,000 persons community size)</w:t>
            </w:r>
          </w:p>
          <w:p w14:paraId="4BCA0FF2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  <w:tc>
          <w:tcPr>
            <w:tcW w:w="2615" w:type="dxa"/>
          </w:tcPr>
          <w:p w14:paraId="21D29BD8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These databases listed were linked using postal code information to inform these variables</w:t>
            </w:r>
          </w:p>
          <w:p w14:paraId="27B17AA6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  <w:p w14:paraId="5EBAE93A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</w:tr>
      <w:tr w:rsidR="00EA4DF1" w:rsidRPr="00EE07EB" w14:paraId="25687FE2" w14:textId="77777777" w:rsidTr="00045381">
        <w:tc>
          <w:tcPr>
            <w:tcW w:w="2349" w:type="dxa"/>
          </w:tcPr>
          <w:p w14:paraId="5B16A5E0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LHIN (Local Health Integration Network)</w:t>
            </w:r>
          </w:p>
        </w:tc>
        <w:tc>
          <w:tcPr>
            <w:tcW w:w="1905" w:type="dxa"/>
          </w:tcPr>
          <w:p w14:paraId="0EE661D6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ICES</w:t>
            </w:r>
          </w:p>
        </w:tc>
        <w:tc>
          <w:tcPr>
            <w:tcW w:w="2481" w:type="dxa"/>
          </w:tcPr>
          <w:p w14:paraId="374411F4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-Residence in LHIN 14</w:t>
            </w:r>
          </w:p>
        </w:tc>
        <w:tc>
          <w:tcPr>
            <w:tcW w:w="2615" w:type="dxa"/>
          </w:tcPr>
          <w:p w14:paraId="497194DB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-Exclusion Criteria (as many hospitalizations for this group may not be captured)</w:t>
            </w:r>
          </w:p>
        </w:tc>
      </w:tr>
      <w:tr w:rsidR="00EA4DF1" w:rsidRPr="00EE07EB" w14:paraId="1B5BEB31" w14:textId="77777777" w:rsidTr="00045381">
        <w:tc>
          <w:tcPr>
            <w:tcW w:w="2349" w:type="dxa"/>
          </w:tcPr>
          <w:p w14:paraId="34FED14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MOMBABY (linked database of mothers and babies born in Ontario)</w:t>
            </w:r>
          </w:p>
        </w:tc>
        <w:tc>
          <w:tcPr>
            <w:tcW w:w="1905" w:type="dxa"/>
          </w:tcPr>
          <w:p w14:paraId="2EAF51E8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ICES</w:t>
            </w:r>
          </w:p>
        </w:tc>
        <w:tc>
          <w:tcPr>
            <w:tcW w:w="2481" w:type="dxa"/>
          </w:tcPr>
          <w:p w14:paraId="16E60534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-Gestational age</w:t>
            </w:r>
          </w:p>
          <w:p w14:paraId="1162602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-number of live births per mother (as a proxy for number of children in the home)</w:t>
            </w:r>
          </w:p>
        </w:tc>
        <w:tc>
          <w:tcPr>
            <w:tcW w:w="2615" w:type="dxa"/>
          </w:tcPr>
          <w:p w14:paraId="060F7DDB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</w:tr>
      <w:tr w:rsidR="00EA4DF1" w:rsidRPr="00EE07EB" w14:paraId="481BD011" w14:textId="77777777" w:rsidTr="00045381">
        <w:tc>
          <w:tcPr>
            <w:tcW w:w="2349" w:type="dxa"/>
          </w:tcPr>
          <w:p w14:paraId="305A65DB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lastRenderedPageBreak/>
              <w:t>Eco Zones</w:t>
            </w:r>
          </w:p>
        </w:tc>
        <w:tc>
          <w:tcPr>
            <w:tcW w:w="1905" w:type="dxa"/>
          </w:tcPr>
          <w:p w14:paraId="17025F19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Ontario Ministry of Natural Resources</w:t>
            </w:r>
          </w:p>
        </w:tc>
        <w:tc>
          <w:tcPr>
            <w:tcW w:w="2481" w:type="dxa"/>
          </w:tcPr>
          <w:p w14:paraId="51070212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North = Northwest (Ontario Shield) + Northeast (Hudson Bay Lowlands)</w:t>
            </w:r>
          </w:p>
          <w:p w14:paraId="14E74B07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vs South (Mixedwood Plains)</w:t>
            </w:r>
          </w:p>
          <w:p w14:paraId="083600E5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  <w:tc>
          <w:tcPr>
            <w:tcW w:w="2615" w:type="dxa"/>
          </w:tcPr>
          <w:p w14:paraId="1ACD1142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-Geographic ecozone of residence neighbourhood (i.e. postal code falling within an ecozone geographic area)</w:t>
            </w:r>
          </w:p>
        </w:tc>
      </w:tr>
      <w:tr w:rsidR="00EA4DF1" w:rsidRPr="00EE07EB" w14:paraId="4BFBCF84" w14:textId="77777777" w:rsidTr="00045381">
        <w:tc>
          <w:tcPr>
            <w:tcW w:w="2349" w:type="dxa"/>
          </w:tcPr>
          <w:p w14:paraId="6E09F3C4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AQHI (Air Quality Health Index)</w:t>
            </w:r>
          </w:p>
        </w:tc>
        <w:tc>
          <w:tcPr>
            <w:tcW w:w="1905" w:type="dxa"/>
          </w:tcPr>
          <w:p w14:paraId="0ED98D02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Environment and Climate Change Canada/Health Canada</w:t>
            </w:r>
          </w:p>
        </w:tc>
        <w:tc>
          <w:tcPr>
            <w:tcW w:w="2481" w:type="dxa"/>
          </w:tcPr>
          <w:p w14:paraId="4B03414B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-Annual AQHI on Scale ranging from 1 (low risk) to 10 (high risk)</w:t>
            </w:r>
          </w:p>
          <w:p w14:paraId="56ECC398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-Annual mean of daily maximum pollutants such as O</w:t>
            </w:r>
            <w:r w:rsidRPr="00EE07EB">
              <w:rPr>
                <w:sz w:val="24"/>
                <w:szCs w:val="24"/>
                <w:vertAlign w:val="subscript"/>
              </w:rPr>
              <w:t>3</w:t>
            </w:r>
            <w:r w:rsidRPr="00EE07EB">
              <w:rPr>
                <w:sz w:val="24"/>
                <w:szCs w:val="24"/>
              </w:rPr>
              <w:t xml:space="preserve"> (ozone), NO</w:t>
            </w:r>
            <w:r w:rsidRPr="00EE07EB">
              <w:rPr>
                <w:sz w:val="24"/>
                <w:szCs w:val="24"/>
                <w:vertAlign w:val="subscript"/>
              </w:rPr>
              <w:t>2</w:t>
            </w:r>
            <w:r w:rsidRPr="00EE07EB">
              <w:rPr>
                <w:sz w:val="24"/>
                <w:szCs w:val="24"/>
              </w:rPr>
              <w:t xml:space="preserve"> (nitrogen dioxide), and PM</w:t>
            </w:r>
            <w:r w:rsidRPr="00EE07EB">
              <w:rPr>
                <w:sz w:val="24"/>
                <w:szCs w:val="24"/>
                <w:vertAlign w:val="subscript"/>
              </w:rPr>
              <w:t xml:space="preserve">2.5 </w:t>
            </w:r>
            <w:r w:rsidRPr="00EE07EB">
              <w:rPr>
                <w:sz w:val="24"/>
                <w:szCs w:val="24"/>
              </w:rPr>
              <w:t xml:space="preserve">(particulate matter) </w:t>
            </w:r>
          </w:p>
        </w:tc>
        <w:tc>
          <w:tcPr>
            <w:tcW w:w="2615" w:type="dxa"/>
          </w:tcPr>
          <w:p w14:paraId="541886E5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Annual AQHI and single pollutant measures are by areas (i.e. census division or forward sortation area)</w:t>
            </w:r>
          </w:p>
        </w:tc>
      </w:tr>
      <w:tr w:rsidR="00EA4DF1" w:rsidRPr="00EE07EB" w14:paraId="499E6669" w14:textId="77777777" w:rsidTr="00045381">
        <w:tc>
          <w:tcPr>
            <w:tcW w:w="2349" w:type="dxa"/>
          </w:tcPr>
          <w:p w14:paraId="1654CA01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GEMSURF Weather data</w:t>
            </w:r>
          </w:p>
        </w:tc>
        <w:tc>
          <w:tcPr>
            <w:tcW w:w="1905" w:type="dxa"/>
          </w:tcPr>
          <w:p w14:paraId="4DD6540A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Environment and Climate Change Canada</w:t>
            </w:r>
          </w:p>
        </w:tc>
        <w:tc>
          <w:tcPr>
            <w:tcW w:w="2481" w:type="dxa"/>
          </w:tcPr>
          <w:p w14:paraId="3262EF02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-Minimum daily temperature</w:t>
            </w:r>
          </w:p>
          <w:p w14:paraId="1877DE5F" w14:textId="77777777" w:rsidR="00EA4DF1" w:rsidRPr="00EE07EB" w:rsidRDefault="00EA4DF1" w:rsidP="00EA4DF1">
            <w:pPr>
              <w:rPr>
                <w:sz w:val="24"/>
                <w:szCs w:val="24"/>
              </w:rPr>
            </w:pPr>
          </w:p>
        </w:tc>
        <w:tc>
          <w:tcPr>
            <w:tcW w:w="2615" w:type="dxa"/>
          </w:tcPr>
          <w:p w14:paraId="499A904B" w14:textId="77777777" w:rsidR="00EA4DF1" w:rsidRPr="00EE07EB" w:rsidRDefault="00EA4DF1" w:rsidP="00EA4DF1">
            <w:pPr>
              <w:rPr>
                <w:sz w:val="24"/>
                <w:szCs w:val="24"/>
              </w:rPr>
            </w:pPr>
            <w:r w:rsidRPr="00EE07EB">
              <w:rPr>
                <w:sz w:val="24"/>
                <w:szCs w:val="24"/>
              </w:rPr>
              <w:t>Data is collected on an hourly basis at the 1 km resolution in Ontario and summarized daily by dissemination areas</w:t>
            </w:r>
          </w:p>
        </w:tc>
      </w:tr>
    </w:tbl>
    <w:p w14:paraId="5CCBA9D4" w14:textId="77777777" w:rsidR="00EA4DF1" w:rsidRPr="00EE07EB" w:rsidRDefault="00EA4DF1" w:rsidP="00EA4DF1">
      <w:pPr>
        <w:spacing w:after="0" w:line="480" w:lineRule="auto"/>
        <w:rPr>
          <w:sz w:val="24"/>
          <w:szCs w:val="24"/>
        </w:rPr>
      </w:pPr>
      <w:r w:rsidRPr="00EE07EB">
        <w:rPr>
          <w:sz w:val="24"/>
          <w:szCs w:val="24"/>
        </w:rPr>
        <w:t>*RSV = Respiratory Syncitial Virus</w:t>
      </w:r>
    </w:p>
    <w:p w14:paraId="0C3F0223" w14:textId="41C5C1E3" w:rsidR="00EA4DF1" w:rsidRPr="00EE07EB" w:rsidRDefault="00EA4DF1" w:rsidP="00EA4DF1">
      <w:pPr>
        <w:spacing w:after="0" w:line="480" w:lineRule="auto"/>
        <w:rPr>
          <w:sz w:val="24"/>
          <w:szCs w:val="24"/>
        </w:rPr>
      </w:pPr>
      <w:r w:rsidRPr="00EE07EB">
        <w:rPr>
          <w:sz w:val="24"/>
          <w:szCs w:val="24"/>
        </w:rPr>
        <w:t>**diagnoses are based on previously published ICD-10 codes</w:t>
      </w:r>
      <w:r w:rsidR="00DF127F">
        <w:rPr>
          <w:sz w:val="24"/>
          <w:szCs w:val="24"/>
        </w:rPr>
        <w:fldChar w:fldCharType="begin">
          <w:fldData xml:space="preserve">PEVuZE5vdGU+PENpdGU+PEF1dGhvcj5QaXNlc2t5PC9BdXRob3I+PFllYXI+MjAxNjwvWWVhcj48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</w:fldData>
        </w:fldChar>
      </w:r>
      <w:r w:rsidR="00DF127F">
        <w:rPr>
          <w:sz w:val="24"/>
          <w:szCs w:val="24"/>
        </w:rPr>
        <w:instrText xml:space="preserve"> ADDIN EN.CITE </w:instrText>
      </w:r>
      <w:r w:rsidR="00DF127F">
        <w:rPr>
          <w:sz w:val="24"/>
          <w:szCs w:val="24"/>
        </w:rPr>
        <w:fldChar w:fldCharType="begin">
          <w:fldData xml:space="preserve">PEVuZE5vdGU+PENpdGU+PEF1dGhvcj5QaXNlc2t5PC9BdXRob3I+PFllYXI+MjAxNjwvWWVhcj48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</w:fldData>
        </w:fldChar>
      </w:r>
      <w:r w:rsidR="00DF127F">
        <w:rPr>
          <w:sz w:val="24"/>
          <w:szCs w:val="24"/>
        </w:rPr>
        <w:instrText xml:space="preserve"> ADDIN EN.CITE.DATA </w:instrText>
      </w:r>
      <w:r w:rsidR="00DF127F">
        <w:rPr>
          <w:sz w:val="24"/>
          <w:szCs w:val="24"/>
        </w:rPr>
      </w:r>
      <w:r w:rsidR="00DF127F">
        <w:rPr>
          <w:sz w:val="24"/>
          <w:szCs w:val="24"/>
        </w:rPr>
        <w:fldChar w:fldCharType="end"/>
      </w:r>
      <w:r w:rsidR="00DF127F">
        <w:rPr>
          <w:sz w:val="24"/>
          <w:szCs w:val="24"/>
        </w:rPr>
      </w:r>
      <w:r w:rsidR="00DF127F">
        <w:rPr>
          <w:sz w:val="24"/>
          <w:szCs w:val="24"/>
        </w:rPr>
        <w:fldChar w:fldCharType="separate"/>
      </w:r>
      <w:r w:rsidR="00DF127F" w:rsidRPr="00DF127F">
        <w:rPr>
          <w:noProof/>
          <w:sz w:val="24"/>
          <w:szCs w:val="24"/>
          <w:vertAlign w:val="superscript"/>
        </w:rPr>
        <w:t>1</w:t>
      </w:r>
      <w:r w:rsidR="00DF127F">
        <w:rPr>
          <w:sz w:val="24"/>
          <w:szCs w:val="24"/>
        </w:rPr>
        <w:fldChar w:fldCharType="end"/>
      </w:r>
    </w:p>
    <w:p w14:paraId="6457D6C7" w14:textId="77777777" w:rsidR="00AB6EFE" w:rsidRDefault="00AB6EFE"/>
    <w:p w14:paraId="1CAA7988" w14:textId="554341BF" w:rsidR="00AB6EFE" w:rsidRPr="00BE6B2F" w:rsidRDefault="00AB6EFE">
      <w:pPr>
        <w:rPr>
          <w:b/>
          <w:bCs/>
          <w:sz w:val="24"/>
          <w:szCs w:val="24"/>
        </w:rPr>
      </w:pPr>
      <w:r w:rsidRPr="00BE6B2F">
        <w:rPr>
          <w:b/>
          <w:bCs/>
          <w:sz w:val="24"/>
          <w:szCs w:val="24"/>
        </w:rPr>
        <w:t>Reference:</w:t>
      </w:r>
    </w:p>
    <w:p w14:paraId="1F7EFB6F" w14:textId="77777777" w:rsidR="00DF127F" w:rsidRPr="00BE6B2F" w:rsidRDefault="00DF127F">
      <w:pPr>
        <w:rPr>
          <w:sz w:val="24"/>
          <w:szCs w:val="24"/>
        </w:rPr>
      </w:pPr>
    </w:p>
    <w:p w14:paraId="7C38A722" w14:textId="77777777" w:rsidR="00DF127F" w:rsidRPr="00BE6B2F" w:rsidRDefault="00DF127F" w:rsidP="00DF127F">
      <w:pPr>
        <w:pStyle w:val="EndNoteBibliography"/>
        <w:rPr>
          <w:sz w:val="24"/>
          <w:szCs w:val="24"/>
        </w:rPr>
      </w:pPr>
      <w:r w:rsidRPr="00BE6B2F">
        <w:rPr>
          <w:sz w:val="24"/>
          <w:szCs w:val="24"/>
        </w:rPr>
        <w:fldChar w:fldCharType="begin"/>
      </w:r>
      <w:r w:rsidRPr="00BE6B2F">
        <w:rPr>
          <w:sz w:val="24"/>
          <w:szCs w:val="24"/>
        </w:rPr>
        <w:instrText xml:space="preserve"> ADDIN EN.REFLIST </w:instrText>
      </w:r>
      <w:r w:rsidRPr="00BE6B2F">
        <w:rPr>
          <w:sz w:val="24"/>
          <w:szCs w:val="24"/>
        </w:rPr>
        <w:fldChar w:fldCharType="separate"/>
      </w:r>
      <w:r w:rsidRPr="00BE6B2F">
        <w:rPr>
          <w:sz w:val="24"/>
          <w:szCs w:val="24"/>
        </w:rPr>
        <w:t>1.</w:t>
      </w:r>
      <w:r w:rsidRPr="00BE6B2F">
        <w:rPr>
          <w:sz w:val="24"/>
          <w:szCs w:val="24"/>
        </w:rPr>
        <w:tab/>
        <w:t>Pisesky A, Benchimol EI, Wong CA, et al. Incidence of Hospitalization for Respiratory Syncytial Virus Infection amongst Children in Ontario, Canada: A Population-Based Study Using Validated Health Administrative Data. PLoS One 2016;11:e0150416.</w:t>
      </w:r>
    </w:p>
    <w:p w14:paraId="6A1F7FFF" w14:textId="2C568FB5" w:rsidR="00EA0601" w:rsidRDefault="00DF127F">
      <w:r w:rsidRPr="00BE6B2F">
        <w:rPr>
          <w:sz w:val="24"/>
          <w:szCs w:val="24"/>
        </w:rPr>
        <w:fldChar w:fldCharType="end"/>
      </w:r>
    </w:p>
    <w:sectPr w:rsidR="00EA0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r2xe9dxnpezpfexa2p5a5p9vdxxdwepvrza&quot;&gt;RSV&lt;record-ids&gt;&lt;item&gt;35&lt;/item&gt;&lt;/record-ids&gt;&lt;/item&gt;&lt;/Libraries&gt;"/>
  </w:docVars>
  <w:rsids>
    <w:rsidRoot w:val="00EA4DF1"/>
    <w:rsid w:val="003A7C0B"/>
    <w:rsid w:val="00606DF2"/>
    <w:rsid w:val="00694053"/>
    <w:rsid w:val="008C0B3C"/>
    <w:rsid w:val="00AB6EFE"/>
    <w:rsid w:val="00B9346F"/>
    <w:rsid w:val="00BE6B2F"/>
    <w:rsid w:val="00C27078"/>
    <w:rsid w:val="00C73AED"/>
    <w:rsid w:val="00D5559F"/>
    <w:rsid w:val="00DF127F"/>
    <w:rsid w:val="00E303C2"/>
    <w:rsid w:val="00E42F7A"/>
    <w:rsid w:val="00EA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E0ACD"/>
  <w15:chartTrackingRefBased/>
  <w15:docId w15:val="{3D4D2438-B7B6-4723-ABE5-B04BC7B02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DF1"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4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AB6E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B6EF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B6EF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B6EFE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Dhenuka Radhakrishnan</dc:creator>
  <cp:keywords/>
  <dc:description/>
  <cp:lastModifiedBy>Dhenuka Radhakrishnan</cp:lastModifiedBy>
  <cp:revision>6</cp:revision>
  <dcterms:created xsi:type="dcterms:W3CDTF">2019-04-21T22:44:00Z</dcterms:created>
  <dcterms:modified xsi:type="dcterms:W3CDTF">2019-06-20T14:21:00Z</dcterms:modified>
</cp:coreProperties>
</file>